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A6" w:rsidRP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Ministerio del Trabajo</w:t>
      </w:r>
    </w:p>
    <w:p w:rsidR="00ED4CA6" w:rsidRP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br/>
        <w:t>Decreto 2616</w:t>
      </w:r>
    </w:p>
    <w:p w:rsid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br/>
        <w:t>20-11-2013</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 xml:space="preserve">“Por medio del cual se regula la cotización a seguridad social para trabajadores dependientes que laboran por períodos inferiores a un mes, se desarrolla el mecanismo financiero y operativo de que trata el artículo 172 de la </w:t>
      </w:r>
      <w:hyperlink r:id="rId5" w:tgtFrame="_parent" w:history="1">
        <w:r w:rsidRPr="00ED4CA6">
          <w:rPr>
            <w:rFonts w:ascii="Georgia" w:eastAsia="Times New Roman" w:hAnsi="Georgia" w:cs="Arial"/>
            <w:color w:val="2D648A"/>
            <w:sz w:val="23"/>
            <w:szCs w:val="23"/>
            <w:u w:val="single"/>
            <w:lang w:eastAsia="es-CO"/>
          </w:rPr>
          <w:t>Ley 1450 de 2011</w:t>
        </w:r>
      </w:hyperlink>
      <w:r w:rsidRPr="00ED4CA6">
        <w:rPr>
          <w:rFonts w:ascii="Georgia" w:eastAsia="Times New Roman" w:hAnsi="Georgia" w:cs="Arial"/>
          <w:color w:val="000000"/>
          <w:sz w:val="23"/>
          <w:szCs w:val="23"/>
          <w:lang w:eastAsia="es-CO"/>
        </w:rPr>
        <w:t xml:space="preserve"> y se dictan disposiciones tendientes a lograr la formalización laboral de los trabajadores informales”.</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El Presidente de la República de Colombia</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 xml:space="preserve">En ejercicio de sus facultades constitucionales y legales, en especial las previstas en el numeral 11 del artículo 189 de la Constitución Política, en el artículo 7° de la Ley 21 de 1982, en el artículo 17 de la Ley 100 de 1993, en el artículo 172 de la Ley 1450 de 2011 yen el </w:t>
      </w:r>
      <w:hyperlink r:id="rId6" w:tgtFrame="_parent" w:history="1">
        <w:r w:rsidRPr="00ED4CA6">
          <w:rPr>
            <w:rFonts w:ascii="Georgia" w:eastAsia="Times New Roman" w:hAnsi="Georgia" w:cs="Arial"/>
            <w:color w:val="2D648A"/>
            <w:sz w:val="23"/>
            <w:szCs w:val="23"/>
            <w:u w:val="single"/>
            <w:lang w:eastAsia="es-CO"/>
          </w:rPr>
          <w:t>artículo 2° de la Ley 1562 de 2012</w:t>
        </w:r>
      </w:hyperlink>
      <w:r w:rsidRPr="00ED4CA6">
        <w:rPr>
          <w:rFonts w:ascii="Georgia" w:eastAsia="Times New Roman" w:hAnsi="Georgia" w:cs="Arial"/>
          <w:color w:val="000000"/>
          <w:sz w:val="23"/>
          <w:szCs w:val="23"/>
          <w:lang w:eastAsia="es-CO"/>
        </w:rPr>
        <w:t xml:space="preserve"> y</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Considerando:</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trabajo es un derecho y un deber de las personas, protegido constitucionalmente y que es obligación del Estado garantizar su acceso en condiciones dignas y justas.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artículo 48 de la Constitución Política señala que la seguridad social es un servicio público de carácter obligatorio que se presta con sujeción a los principios de eficiencia, universalidad y solidaridad, que se le debe garantizar a todos los habitantes como un derecho irrenunciable y que el Estado está llamado a ampliar progresivamente su cobertura.</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esta disposición constitucional es compatible con los artículos 2° y 9° del Pacto Internacional de Derechos Económicos, Sociales y Culturales, los cuales señalan que los Estados Partes se comprometen a adoptar medidas, especialmente económicas y técnicas para lograr progresivamente, por todos los medios apropiados, en particular la adopción de medidas legislativas, la plena efectividad de los derechos entre los cuales está el de toda persona a la seguridad social.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artículo 53 de la Constitución Política establece entre los principios mínimos fundamentales del trabajo, la garantía a la seguridad social, la igualdad de oportunidades para los trabajadores y la primacía de la realidad sobre las formalidades establecidas por los sujetos de las relaciones laborales.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Convenio 175 de 1994 de la Organización Internacional del Trabajo (OIT), sobre el trabajo a tiempo parcial, reconoce “…</w:t>
      </w:r>
      <w:proofErr w:type="spellStart"/>
      <w:r w:rsidRPr="00ED4CA6">
        <w:rPr>
          <w:rFonts w:ascii="Georgia" w:eastAsia="Times New Roman" w:hAnsi="Georgia" w:cs="Arial"/>
          <w:i/>
          <w:iCs/>
          <w:color w:val="000000"/>
          <w:sz w:val="23"/>
          <w:szCs w:val="23"/>
          <w:lang w:eastAsia="es-CO"/>
        </w:rPr>
        <w:t>Ia</w:t>
      </w:r>
      <w:proofErr w:type="spellEnd"/>
      <w:r w:rsidRPr="00ED4CA6">
        <w:rPr>
          <w:rFonts w:ascii="Georgia" w:eastAsia="Times New Roman" w:hAnsi="Georgia" w:cs="Arial"/>
          <w:i/>
          <w:iCs/>
          <w:color w:val="000000"/>
          <w:sz w:val="23"/>
          <w:szCs w:val="23"/>
          <w:lang w:eastAsia="es-CO"/>
        </w:rPr>
        <w:t xml:space="preserve"> importancia que presenta para todos los trabajadores el contar con un empleo productivo y libremente elegido, la importancia que tiene para la economía el trabajo a tiempo parcial; la necesidad que en las políticas de empleo se tenga en cuenta la función del trabajo a tiempo parcial como modo de abrir nuevas posibilidades de empleo y la necesidad de asegurar la protección de los trabajadores a tiempo parcial en los campos del acceso al empleo, de las condiciones de trabajo y de la seguridad social.</w:t>
      </w:r>
      <w:r w:rsidRPr="00ED4CA6">
        <w:rPr>
          <w:rFonts w:ascii="Georgia" w:eastAsia="Times New Roman" w:hAnsi="Georgia" w:cs="Arial"/>
          <w:color w:val="000000"/>
          <w:sz w:val="23"/>
          <w:szCs w:val="23"/>
          <w:lang w:eastAsia="es-CO"/>
        </w:rPr>
        <w:t>”</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Convenio 189 de 2011 de la OIT adoptado en nuestra legislación interna mediante la Ley 1595 de 2012, establece directrices para fortalecer el trabajo decente para las trabajadoras y trabajadores del servicio doméstico y equipararlos, dada su actual informalidad, en general con los demás trabajadores, con el fin de que puedan disfrutar de condiciones de empleo equitativas y condiciones de trabajo decente, buscando igualmente su inserción a los sistemas de pensiones y de riesgos laborales, con el fin de obtener protección para los respectivos riesgos.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lastRenderedPageBreak/>
        <w:t>Que el artículo 6° de la Ley 100 de 1993 establece la necesidad de garantizar la vinculación al Sistema General de Seguridad Social en los sistemas de pensiones y riesgos laborales, de aquellas personas dependientes que perciben ingresos inferiores al salario mínimo legal.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 xml:space="preserve">Que el artículo 18 de la Ley 100 de 1993, modificado por el artículo 5° de la Ley 797 de 2003, que regula el ingreso base de cotización al Sistema General de Pensiones, fue objeto de análisis de constitucionalidad en la sentencia C-967 de 2003 (M.P. Marco Gerardo </w:t>
      </w:r>
      <w:proofErr w:type="spellStart"/>
      <w:r w:rsidRPr="00ED4CA6">
        <w:rPr>
          <w:rFonts w:ascii="Georgia" w:eastAsia="Times New Roman" w:hAnsi="Georgia" w:cs="Arial"/>
          <w:color w:val="000000"/>
          <w:sz w:val="23"/>
          <w:szCs w:val="23"/>
          <w:lang w:eastAsia="es-CO"/>
        </w:rPr>
        <w:t>Momoy</w:t>
      </w:r>
      <w:proofErr w:type="spellEnd"/>
      <w:r w:rsidRPr="00ED4CA6">
        <w:rPr>
          <w:rFonts w:ascii="Georgia" w:eastAsia="Times New Roman" w:hAnsi="Georgia" w:cs="Arial"/>
          <w:color w:val="000000"/>
          <w:sz w:val="23"/>
          <w:szCs w:val="23"/>
          <w:lang w:eastAsia="es-CO"/>
        </w:rPr>
        <w:t xml:space="preserve"> Cabra), a través de la cual la Corte Constitucional declaró su </w:t>
      </w:r>
      <w:proofErr w:type="spellStart"/>
      <w:r w:rsidRPr="00ED4CA6">
        <w:rPr>
          <w:rFonts w:ascii="Georgia" w:eastAsia="Times New Roman" w:hAnsi="Georgia" w:cs="Arial"/>
          <w:color w:val="000000"/>
          <w:sz w:val="23"/>
          <w:szCs w:val="23"/>
          <w:lang w:eastAsia="es-CO"/>
        </w:rPr>
        <w:t>exequibilidad</w:t>
      </w:r>
      <w:proofErr w:type="spellEnd"/>
      <w:r w:rsidRPr="00ED4CA6">
        <w:rPr>
          <w:rFonts w:ascii="Georgia" w:eastAsia="Times New Roman" w:hAnsi="Georgia" w:cs="Arial"/>
          <w:color w:val="000000"/>
          <w:sz w:val="23"/>
          <w:szCs w:val="23"/>
          <w:lang w:eastAsia="es-CO"/>
        </w:rPr>
        <w:t xml:space="preserve"> en relación con la modificación que eliminó la excepción contenida en la Ley 11 de 1988, según la cual los trabajadores del servicio doméstico podían cotizar sobre un valor menor al salario mínimo mensual, siempre que no fuera inferior al 50% del mismo.</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permitir a algunas personas cotizar sobre una base inferior al salario mínimo no se opone a la precitada interpretación que hizo la Corte Constitucional, toda vez que la jurisprudencia no ha señalado que la obligación de cotizar sobre al menos un salario mínimo sea un imperativo constitucional o que no se puedan adoptar medidas que permitan cotizar sobre montos inferiores al salario mínimo mensual, ni ha impedido que el salario mensual sea dividido por periodos. En este último sentido, la Corte ha reconocido el salario mínimo diario cuando se determina “proporcionalmente a partir de la suma establecida como mínimo legal mensual’, proporción que se toma en el presente decreto, pero agrupado en cuatro niveles o franjas de ingresos, para permitir el acceso de los trabajadores informales al Sistema de Seguridad Social.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está regulado el salario mínimo legal diario para aquellos trabajadores que laboren por períodos inferiores a un mes, circunstancia que no afecta su derecho irrenunciable a acceder al Sistema de Seguridad Social Integral.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presente decreto aplica el principio de la interpretación conforme e instrumentaliza la ampliación progresiva de la cobertura en el Sistema de Seguridad Social, mandato Constitucional contenido en el artículo 48.</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principio de progresividad se concreta en este decreto al aplicar una metodología que permite cotizar, respetando el referente material del salario mínimo mensual al utilizar proporciones del mismo, a un sector importante de trabajadores dependientes que hoy son informales y que por devengar menos de un salario mínimo, generalmente no se integran al sistema de seguridad social.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 xml:space="preserve">Que con el fin de que una persona que aporte por semanas a pensiones y no logre cumplir con los requisitos para obtener la pensión al llegar a la edad establecida en la Ley, tenga un ingreso en su vejez, esta norma armoniza lo dispuesto en el inciso 12 del artículo 48 de la Carta Política, la </w:t>
      </w:r>
      <w:hyperlink r:id="rId7" w:tgtFrame="_parent" w:history="1">
        <w:r w:rsidRPr="00ED4CA6">
          <w:rPr>
            <w:rFonts w:ascii="Georgia" w:eastAsia="Times New Roman" w:hAnsi="Georgia" w:cs="Arial"/>
            <w:color w:val="2D648A"/>
            <w:sz w:val="23"/>
            <w:szCs w:val="23"/>
            <w:u w:val="single"/>
            <w:lang w:eastAsia="es-CO"/>
          </w:rPr>
          <w:t>Ley 1328 de 2009</w:t>
        </w:r>
      </w:hyperlink>
      <w:r w:rsidRPr="00ED4CA6">
        <w:rPr>
          <w:rFonts w:ascii="Georgia" w:eastAsia="Times New Roman" w:hAnsi="Georgia" w:cs="Arial"/>
          <w:color w:val="000000"/>
          <w:sz w:val="23"/>
          <w:szCs w:val="23"/>
          <w:lang w:eastAsia="es-CO"/>
        </w:rPr>
        <w:t xml:space="preserve"> y el </w:t>
      </w:r>
      <w:hyperlink r:id="rId8" w:tgtFrame="_parent" w:history="1">
        <w:r w:rsidRPr="00ED4CA6">
          <w:rPr>
            <w:rFonts w:ascii="Georgia" w:eastAsia="Times New Roman" w:hAnsi="Georgia" w:cs="Arial"/>
            <w:color w:val="2D648A"/>
            <w:sz w:val="23"/>
            <w:szCs w:val="23"/>
            <w:u w:val="single"/>
            <w:lang w:eastAsia="es-CO"/>
          </w:rPr>
          <w:t>Decreto 604 de 2013</w:t>
        </w:r>
      </w:hyperlink>
      <w:r w:rsidRPr="00ED4CA6">
        <w:rPr>
          <w:rFonts w:ascii="Georgia" w:eastAsia="Times New Roman" w:hAnsi="Georgia" w:cs="Arial"/>
          <w:color w:val="000000"/>
          <w:sz w:val="23"/>
          <w:szCs w:val="23"/>
          <w:lang w:eastAsia="es-CO"/>
        </w:rPr>
        <w:t>, permitiendo que sus cotizaciones pasen al sistema de Beneficios Económicos Periódico.</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la Ley 1562 de 2012, por la cual se modifica el Sistema de Riesgos Laborales y se dictan otras disposiciones en materia de Seguridad y Salud en el Trabajo, indicó en su artículo 2que son afiliados a dicho sistema todos los trabajadores dependientes nacionales o extranjeros, vinculados mediante contrato de trabajo escrito o verbal y los servidores públicos.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la Ley 1429 de 2010 fijó los parámetros para la formalización y la generación de empleo definiendo como informalidad por subsistencia “</w:t>
      </w:r>
      <w:r w:rsidRPr="00ED4CA6">
        <w:rPr>
          <w:rFonts w:ascii="Georgia" w:eastAsia="Times New Roman" w:hAnsi="Georgia" w:cs="Arial"/>
          <w:i/>
          <w:iCs/>
          <w:color w:val="000000"/>
          <w:sz w:val="23"/>
          <w:szCs w:val="23"/>
          <w:lang w:eastAsia="es-CO"/>
        </w:rPr>
        <w:t>aquella que se caracteriza por el ejercicio de una actividad por fuera de los parámetros legalmente constituidos, por un individuo, familia o núcleo social para poder garantizar su mínimo vital</w:t>
      </w:r>
      <w:r w:rsidRPr="00ED4CA6">
        <w:rPr>
          <w:rFonts w:ascii="Georgia" w:eastAsia="Times New Roman" w:hAnsi="Georgia" w:cs="Arial"/>
          <w:color w:val="000000"/>
          <w:sz w:val="23"/>
          <w:szCs w:val="23"/>
          <w:lang w:eastAsia="es-CO"/>
        </w:rPr>
        <w:t>.”</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conforme al numeral 4° del artículo 7° de la Ley 21 de 1982, todos los empleadores en Colombia “</w:t>
      </w:r>
      <w:r w:rsidRPr="00ED4CA6">
        <w:rPr>
          <w:rFonts w:ascii="Georgia" w:eastAsia="Times New Roman" w:hAnsi="Georgia" w:cs="Arial"/>
          <w:i/>
          <w:iCs/>
          <w:color w:val="000000"/>
          <w:sz w:val="23"/>
          <w:szCs w:val="23"/>
          <w:lang w:eastAsia="es-CO"/>
        </w:rPr>
        <w:t>que ocupen uno o más trabajadores permanentes</w:t>
      </w:r>
      <w:r w:rsidRPr="00ED4CA6">
        <w:rPr>
          <w:rFonts w:ascii="Georgia" w:eastAsia="Times New Roman" w:hAnsi="Georgia" w:cs="Arial"/>
          <w:color w:val="000000"/>
          <w:sz w:val="23"/>
          <w:szCs w:val="23"/>
          <w:lang w:eastAsia="es-CO"/>
        </w:rPr>
        <w:t xml:space="preserve">” están obligados a pagar el subsidio familiar, lo que se materializa a través de la afiliación de </w:t>
      </w:r>
      <w:r w:rsidRPr="00ED4CA6">
        <w:rPr>
          <w:rFonts w:ascii="Georgia" w:eastAsia="Times New Roman" w:hAnsi="Georgia" w:cs="Arial"/>
          <w:color w:val="000000"/>
          <w:sz w:val="23"/>
          <w:szCs w:val="23"/>
          <w:lang w:eastAsia="es-CO"/>
        </w:rPr>
        <w:lastRenderedPageBreak/>
        <w:t>los mismos al Sistema de Compensación Familiar, mediante su vinculación a una Caja de Compensación Familiar.</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artículo 6° del Código Sustantivo del Trabajo define el trabajo ocasional, accidental o transitorio como “aquel de corta duración y no mayor de un mes, que se refiere a labores distintas de las actividades normales del empleador”; en ese sentido, los trabajadores a tiempo parcial no son por esencia trabajadores ocasionales, pues su labor ordinariamente se presta en condiciones de habitualidad y permanencia.</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tal como lo disponen los artículos 1° de la Ley 21 de 1982 y 151 de la Ley 1450 de 2011, el subsidio familiar es una prestación social de los trabajadores en Colombia y que la misma no puede ser desconocida para ninguna persona que ostente la condición de trabajador en el país y cumpla los requisitos legales para acceder a ella.</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la Ley 789 de 2002 define el Sistema de Protección Social como un conjunto de políticas orientadas a mejorar la calidad de vida y obtener como mínimo el derecho a la salud, la pensión y al trabajo, contemplando la afiliación a las Cajas de Compensación Familiar, como elemento necesario de la formalización laboral.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los trabajadores informales, aun prestando personalmente sus servicios en una relación subordinada y remunerada, generalmente son excluidos de la afiliación a los sistemas de pensiones, riesgos laborales y subsidio familiar, lo que implica su desprotección en materia de seguridad social.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la Ley 1450 de 2011 dispuso como objetivo del Plan Nacional de Desarrollo 2010- 2014, formalizar el empleo y reducir los índices de pobreza y prescribe entre los mecanismos para su ejecución, la igualdad de oportunidades para la prosperidad social, a partir del diseño de un esquema financiero y operativo que posibilite la vinculación de los trabajadores informales por subsistencia a los sistemas de pensiones y de riesgos laborales; por lo tanto, se hace necesario adoptar el mecanismo que permita la afiliación, cotización y recaudo en los Sistemas de Pensiones y Riesgos Laborales de esos trabajadores.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el artículo 171 de la Ley 1450 de 2011 dispone que la afiliación a la seguridad social de los trabajadores que laboren por periodos inferiores a un mes o por días y que por lo tanto perciban ingresos por debajo de un salario mínimo legal mensual vigente, se realizará mediante su cotización, “de acuerdo con el número de días laborados y sobre un monto no inferir a un salario mínimo diario legal vigente, de conformidad con los límites mínimos que se establezcan”,</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Que la Comisión Intersectorial de Pensiones y Beneficios Económicos Periódicos, en sesión llevada a cabo el 21 de febrero de 2013, consideró conveniente que el Gobierno Nacional adopte un modelo financiero y operativo con el cual se garantice que los trabajadores a tiempo parcial, tengan acceso a las prestaciones de los Sistemas de Pensiones y Riesgos Laborales, con el fin de protegerlos de los riesgos laborales y los inherentes a la vejez y que cuenten con los beneficios que prestan las Cajas de Compensación Familiar, cumpliendo así con un mandato legal.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En mérito de lo expuesto</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Decreta:</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Capítulo I</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Disposiciones Generales</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0" w:name="1"/>
      <w:bookmarkEnd w:id="0"/>
      <w:r w:rsidRPr="00ED4CA6">
        <w:rPr>
          <w:rFonts w:ascii="Georgia" w:eastAsia="Times New Roman" w:hAnsi="Georgia" w:cs="Arial"/>
          <w:b/>
          <w:bCs/>
          <w:color w:val="000000"/>
          <w:sz w:val="23"/>
          <w:szCs w:val="23"/>
          <w:lang w:eastAsia="es-CO"/>
        </w:rPr>
        <w:t xml:space="preserve">Artículo 1. Objeto. </w:t>
      </w:r>
      <w:r w:rsidRPr="00ED4CA6">
        <w:rPr>
          <w:rFonts w:ascii="Georgia" w:eastAsia="Times New Roman" w:hAnsi="Georgia" w:cs="Arial"/>
          <w:color w:val="000000"/>
          <w:sz w:val="23"/>
          <w:szCs w:val="23"/>
          <w:lang w:eastAsia="es-CO"/>
        </w:rPr>
        <w:t>El presente Decreto tiene por objeto adoptar el esquema financiero y operativo que permita la vinculación de los trabajadores dependientes que laboren por períodos inferiores a un mes, a los Sistemas de Pensiones, Riesgos Laborales y Subsidio Familiar, con el fin de fomentar la formalización laboral.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 w:name="2"/>
      <w:bookmarkEnd w:id="1"/>
      <w:r w:rsidRPr="00ED4CA6">
        <w:rPr>
          <w:rFonts w:ascii="Georgia" w:eastAsia="Times New Roman" w:hAnsi="Georgia" w:cs="Arial"/>
          <w:b/>
          <w:bCs/>
          <w:color w:val="000000"/>
          <w:sz w:val="23"/>
          <w:szCs w:val="23"/>
          <w:lang w:eastAsia="es-CO"/>
        </w:rPr>
        <w:lastRenderedPageBreak/>
        <w:t>Artículo 2. Campo de aplicación.</w:t>
      </w:r>
      <w:r w:rsidRPr="00ED4CA6">
        <w:rPr>
          <w:rFonts w:ascii="Georgia" w:eastAsia="Times New Roman" w:hAnsi="Georgia" w:cs="Arial"/>
          <w:color w:val="000000"/>
          <w:sz w:val="23"/>
          <w:szCs w:val="23"/>
          <w:lang w:eastAsia="es-CO"/>
        </w:rPr>
        <w:t xml:space="preserve"> El presente decreto se aplica a los trabajadores dependientes que cumplan con las siguientes condiciones, sin perjuicio de las demás que les son de su naturaleza:</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a. Que se encuentren vinculados laboralmente.</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b. Que el contrato sea a tiempo parcial, es decir, que en un mismo mes, sea contratado por periodos inferiores a treinta (30) días.</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c. Que el valor que resulte como remuneración en el mes, sea inferior a un (1) salario mínimo mensual legal vigente.</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Parágrafo.</w:t>
      </w:r>
      <w:r w:rsidRPr="00ED4CA6">
        <w:rPr>
          <w:rFonts w:ascii="Georgia" w:eastAsia="Times New Roman" w:hAnsi="Georgia" w:cs="Arial"/>
          <w:color w:val="000000"/>
          <w:sz w:val="23"/>
          <w:szCs w:val="23"/>
          <w:lang w:eastAsia="es-CO"/>
        </w:rPr>
        <w:t xml:space="preserve"> El presente decreto no se aplicará a los trabajadores afectados por una reducción colectiva o temporal de la duración normal de su trabajo, por motivos económicos, tecnológicos o estructurales. El traslado de un trabajo a tiempo completo a un trabajo a tiempo parcial, o viceversa deberá ser voluntario.</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Capítulo II</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Condiciones operativas de la vinculación a los Sistemas de Pensiones, Riesgos Laborales y Subsidio Familiar</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2" w:name="3"/>
      <w:bookmarkEnd w:id="2"/>
      <w:r w:rsidRPr="00ED4CA6">
        <w:rPr>
          <w:rFonts w:ascii="Georgia" w:eastAsia="Times New Roman" w:hAnsi="Georgia" w:cs="Arial"/>
          <w:b/>
          <w:bCs/>
          <w:color w:val="000000"/>
          <w:sz w:val="23"/>
          <w:szCs w:val="23"/>
          <w:lang w:eastAsia="es-CO"/>
        </w:rPr>
        <w:t>Artículo 3. Afinación a los Sistemas de Pensiones, Riesgos Laborales y Subsidio Familiar.</w:t>
      </w:r>
      <w:r w:rsidRPr="00ED4CA6">
        <w:rPr>
          <w:rFonts w:ascii="Georgia" w:eastAsia="Times New Roman" w:hAnsi="Georgia" w:cs="Arial"/>
          <w:color w:val="000000"/>
          <w:sz w:val="23"/>
          <w:szCs w:val="23"/>
          <w:lang w:eastAsia="es-CO"/>
        </w:rPr>
        <w:t xml:space="preserve"> La afiliación del trabajador a los Sistemas de Pensiones, Riesgos Laborales y Subsidio Familiar será responsabilidad del empleador y se realizará en los términos que establecen las normas generales que rigen los diferentes sistemas, a través de las Administradoras de Pensiones, Administradoras de Riesgos Laborales y Cajas de Compensación Familiar autorizadas para operar. </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bookmarkStart w:id="3" w:name="4"/>
      <w:bookmarkEnd w:id="3"/>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Artículo 4. Selección y afiliación.</w:t>
      </w:r>
      <w:r w:rsidRPr="00ED4CA6">
        <w:rPr>
          <w:rFonts w:ascii="Georgia" w:eastAsia="Times New Roman" w:hAnsi="Georgia" w:cs="Arial"/>
          <w:color w:val="000000"/>
          <w:sz w:val="23"/>
          <w:szCs w:val="23"/>
          <w:lang w:eastAsia="es-CO"/>
        </w:rPr>
        <w:t xml:space="preserve"> Para la afiliación al Sistema General de Pensiones, el trabajador seleccionará una única administradora de pensiones. Para la afiliación al Sistema General de Riesgos Laborales y del Subsidio Familiar, corresponderá al empleador efectuar la selección de la Administradora de Riesgos Laborales y de la Caja de Compensación Familiar.</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Capítulo III</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Condiciones financieras de la vinculación a los Sistemas de Pensiones, Riesgos Laborales y del Subsidio Familiar</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4" w:name="5"/>
      <w:bookmarkEnd w:id="4"/>
      <w:r w:rsidRPr="00ED4CA6">
        <w:rPr>
          <w:rFonts w:ascii="Georgia" w:eastAsia="Times New Roman" w:hAnsi="Georgia" w:cs="Arial"/>
          <w:b/>
          <w:bCs/>
          <w:color w:val="000000"/>
          <w:sz w:val="23"/>
          <w:szCs w:val="23"/>
          <w:lang w:eastAsia="es-CO"/>
        </w:rPr>
        <w:t>Artículo 5. Base de cotización mínima semanal a los sistemas de seguridad social para los trabajadores a que se refiere el presente decreto.</w:t>
      </w:r>
      <w:r w:rsidRPr="00ED4CA6">
        <w:rPr>
          <w:rFonts w:ascii="Georgia" w:eastAsia="Times New Roman" w:hAnsi="Georgia" w:cs="Arial"/>
          <w:color w:val="000000"/>
          <w:sz w:val="23"/>
          <w:szCs w:val="23"/>
          <w:lang w:eastAsia="es-CO"/>
        </w:rPr>
        <w:t xml:space="preserve"> En el Sistema de Pensiones, el ingreso base para calcular la cotización mínima mensual de los trabajadores a quienes se les aplica el presente decreto, será el correspondiente a una cuarta parte (1/4) del salario mínimo mensual legal vigente, el cual se denominará cotización mínima semanal.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Para el Sistema de Riesgos Laborales, el ingreso base de cotización será el salario mínimo legal mensual vigente.</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5" w:name="6"/>
      <w:bookmarkEnd w:id="5"/>
      <w:r w:rsidRPr="00ED4CA6">
        <w:rPr>
          <w:rFonts w:ascii="Georgia" w:eastAsia="Times New Roman" w:hAnsi="Georgia" w:cs="Arial"/>
          <w:b/>
          <w:bCs/>
          <w:color w:val="000000"/>
          <w:sz w:val="23"/>
          <w:szCs w:val="23"/>
          <w:lang w:eastAsia="es-CO"/>
        </w:rPr>
        <w:t>Artículo 6. Monto de las cotizaciones al Sistema General de Pensiones, Subsidio Familiar y Riesgos Laborales.</w:t>
      </w:r>
      <w:r w:rsidRPr="00ED4CA6">
        <w:rPr>
          <w:rFonts w:ascii="Georgia" w:eastAsia="Times New Roman" w:hAnsi="Georgia" w:cs="Arial"/>
          <w:color w:val="000000"/>
          <w:sz w:val="23"/>
          <w:szCs w:val="23"/>
          <w:lang w:eastAsia="es-CO"/>
        </w:rPr>
        <w:t xml:space="preserve"> Para el Sistema General de Pensiones y del Subsidio Familiar, se cotizará de acuerdo con lo señalado en la siguiente tabla:</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8"/>
        <w:gridCol w:w="4439"/>
      </w:tblGrid>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666666"/>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Días laborados en el mes</w:t>
            </w:r>
          </w:p>
        </w:tc>
        <w:tc>
          <w:tcPr>
            <w:tcW w:w="4485" w:type="dxa"/>
            <w:tcBorders>
              <w:top w:val="outset" w:sz="6" w:space="0" w:color="auto"/>
              <w:left w:val="outset" w:sz="6" w:space="0" w:color="auto"/>
              <w:bottom w:val="outset" w:sz="6" w:space="0" w:color="auto"/>
              <w:right w:val="outset" w:sz="6" w:space="0" w:color="auto"/>
            </w:tcBorders>
            <w:shd w:val="clear" w:color="auto" w:fill="666666"/>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Monto de la cotización</w:t>
            </w:r>
          </w:p>
        </w:tc>
      </w:tr>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Entre 1 y 7 días</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Una (1) cotización mínima semanal</w:t>
            </w:r>
          </w:p>
        </w:tc>
      </w:tr>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Entre 8 y 14 días</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Dos (2) cotizaciones mínimas semanales</w:t>
            </w:r>
          </w:p>
        </w:tc>
      </w:tr>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Entre 15 y 21 días</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Tres (3) cotizaciones mínimas semanales</w:t>
            </w:r>
          </w:p>
        </w:tc>
      </w:tr>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Más de 21 días</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Cuatro (4) cotizaciones mínimas semanales (equivalen a un salario mínimo mensual)</w:t>
            </w:r>
          </w:p>
        </w:tc>
      </w:tr>
    </w:tbl>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lastRenderedPageBreak/>
        <w:t>Los valores semanales citados en este artículo, se refieren al valor mínimo semanal calculado en el artículo 8° del presente decreto.</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6" w:name="7"/>
      <w:bookmarkEnd w:id="6"/>
      <w:r w:rsidRPr="00ED4CA6">
        <w:rPr>
          <w:rFonts w:ascii="Georgia" w:eastAsia="Times New Roman" w:hAnsi="Georgia" w:cs="Arial"/>
          <w:b/>
          <w:bCs/>
          <w:color w:val="000000"/>
          <w:sz w:val="23"/>
          <w:szCs w:val="23"/>
          <w:lang w:eastAsia="es-CO"/>
        </w:rPr>
        <w:t xml:space="preserve">Artículo 7. Porcentaje de cotización. </w:t>
      </w:r>
      <w:r w:rsidRPr="00ED4CA6">
        <w:rPr>
          <w:rFonts w:ascii="Georgia" w:eastAsia="Times New Roman" w:hAnsi="Georgia" w:cs="Arial"/>
          <w:color w:val="000000"/>
          <w:sz w:val="23"/>
          <w:szCs w:val="23"/>
          <w:lang w:eastAsia="es-CO"/>
        </w:rPr>
        <w:t>El monto de cotización que le corresponderá al empleador y al trabajador, se determinará aplicando los porcentajes establecidos en las normas generales que regulan los Sistemas de Pensiones, Riesgos Laborales y Subsidio Familiar.</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7" w:name="8"/>
      <w:bookmarkEnd w:id="7"/>
      <w:r w:rsidRPr="00ED4CA6">
        <w:rPr>
          <w:rFonts w:ascii="Georgia" w:eastAsia="Times New Roman" w:hAnsi="Georgia" w:cs="Arial"/>
          <w:b/>
          <w:bCs/>
          <w:color w:val="000000"/>
          <w:sz w:val="23"/>
          <w:szCs w:val="23"/>
          <w:lang w:eastAsia="es-CO"/>
        </w:rPr>
        <w:t>Artículo 8. Tablas.</w:t>
      </w:r>
      <w:r w:rsidRPr="00ED4CA6">
        <w:rPr>
          <w:rFonts w:ascii="Georgia" w:eastAsia="Times New Roman" w:hAnsi="Georgia" w:cs="Arial"/>
          <w:color w:val="000000"/>
          <w:sz w:val="23"/>
          <w:szCs w:val="23"/>
          <w:lang w:eastAsia="es-CO"/>
        </w:rPr>
        <w:t xml:space="preserve"> De conformidad con lo señalado en el los artículos precedentes, el valor semanal del pago se calcula como se ilustra a continuación:</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1. Valor de cotización mínima semanal a cargo del empleador en cada sistema:</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6"/>
        <w:gridCol w:w="4403"/>
      </w:tblGrid>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666666"/>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Pago mínimo semanal a cargo del empleador</w:t>
            </w:r>
          </w:p>
        </w:tc>
        <w:tc>
          <w:tcPr>
            <w:tcW w:w="4485" w:type="dxa"/>
            <w:tcBorders>
              <w:top w:val="outset" w:sz="6" w:space="0" w:color="auto"/>
              <w:left w:val="outset" w:sz="6" w:space="0" w:color="auto"/>
              <w:bottom w:val="outset" w:sz="6" w:space="0" w:color="auto"/>
              <w:right w:val="outset" w:sz="6" w:space="0" w:color="auto"/>
            </w:tcBorders>
            <w:shd w:val="clear" w:color="auto" w:fill="666666"/>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Valor Mínimo semanal ($)</w:t>
            </w:r>
          </w:p>
        </w:tc>
      </w:tr>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A. Seguridad Social</w:t>
            </w:r>
          </w:p>
        </w:tc>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20.762</w:t>
            </w:r>
          </w:p>
        </w:tc>
      </w:tr>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 xml:space="preserve">Pensiones (12% del </w:t>
            </w:r>
            <w:proofErr w:type="spellStart"/>
            <w:r w:rsidRPr="00ED4CA6">
              <w:rPr>
                <w:rFonts w:ascii="Arial" w:eastAsia="Times New Roman" w:hAnsi="Arial" w:cs="Arial"/>
                <w:sz w:val="18"/>
                <w:szCs w:val="18"/>
                <w:lang w:eastAsia="es-CO"/>
              </w:rPr>
              <w:t>SMMlV</w:t>
            </w:r>
            <w:proofErr w:type="spellEnd"/>
            <w:r w:rsidRPr="00ED4CA6">
              <w:rPr>
                <w:rFonts w:ascii="Arial" w:eastAsia="Times New Roman" w:hAnsi="Arial" w:cs="Arial"/>
                <w:sz w:val="18"/>
                <w:szCs w:val="18"/>
                <w:lang w:eastAsia="es-CO"/>
              </w:rPr>
              <w:t>/4)</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17.685</w:t>
            </w:r>
          </w:p>
        </w:tc>
      </w:tr>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 xml:space="preserve">Riesgos laborales </w:t>
            </w:r>
          </w:p>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000000"/>
                <w:sz w:val="23"/>
                <w:szCs w:val="23"/>
                <w:lang w:eastAsia="es-CO"/>
              </w:rPr>
              <w:t xml:space="preserve">(Riesgo I =0,522%* del </w:t>
            </w:r>
            <w:proofErr w:type="spellStart"/>
            <w:r w:rsidRPr="00ED4CA6">
              <w:rPr>
                <w:rFonts w:ascii="Arial" w:eastAsia="Times New Roman" w:hAnsi="Arial" w:cs="Arial"/>
                <w:color w:val="000000"/>
                <w:sz w:val="23"/>
                <w:szCs w:val="23"/>
                <w:lang w:eastAsia="es-CO"/>
              </w:rPr>
              <w:t>SMMlV</w:t>
            </w:r>
            <w:proofErr w:type="spellEnd"/>
            <w:r w:rsidRPr="00ED4CA6">
              <w:rPr>
                <w:rFonts w:ascii="Arial" w:eastAsia="Times New Roman" w:hAnsi="Arial" w:cs="Arial"/>
                <w:color w:val="000000"/>
                <w:sz w:val="23"/>
                <w:szCs w:val="23"/>
                <w:lang w:eastAsia="es-CO"/>
              </w:rPr>
              <w:t>) **</w:t>
            </w:r>
          </w:p>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000000"/>
                <w:sz w:val="23"/>
                <w:szCs w:val="23"/>
                <w:lang w:eastAsia="es-CO"/>
              </w:rPr>
              <w:t>Valor variable según el riesgo de la actividad del empleador.</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 xml:space="preserve">3.077** </w:t>
            </w:r>
          </w:p>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000000"/>
                <w:sz w:val="23"/>
                <w:szCs w:val="23"/>
                <w:lang w:eastAsia="es-CO"/>
              </w:rPr>
              <w:t>Valor mensual</w:t>
            </w:r>
          </w:p>
        </w:tc>
      </w:tr>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B. Parafiscalidad</w:t>
            </w:r>
          </w:p>
        </w:tc>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5.895</w:t>
            </w:r>
          </w:p>
        </w:tc>
      </w:tr>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 xml:space="preserve">Cajas de Compensación (4% del </w:t>
            </w:r>
            <w:proofErr w:type="spellStart"/>
            <w:r w:rsidRPr="00ED4CA6">
              <w:rPr>
                <w:rFonts w:ascii="Arial" w:eastAsia="Times New Roman" w:hAnsi="Arial" w:cs="Arial"/>
                <w:sz w:val="18"/>
                <w:szCs w:val="18"/>
                <w:lang w:eastAsia="es-CO"/>
              </w:rPr>
              <w:t>SMMlV</w:t>
            </w:r>
            <w:proofErr w:type="spellEnd"/>
            <w:r w:rsidRPr="00ED4CA6">
              <w:rPr>
                <w:rFonts w:ascii="Arial" w:eastAsia="Times New Roman" w:hAnsi="Arial" w:cs="Arial"/>
                <w:sz w:val="18"/>
                <w:szCs w:val="18"/>
                <w:lang w:eastAsia="es-CO"/>
              </w:rPr>
              <w:t>/4)</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5.895</w:t>
            </w:r>
          </w:p>
        </w:tc>
      </w:tr>
      <w:tr w:rsidR="00ED4CA6" w:rsidRPr="00ED4CA6" w:rsidTr="00ED4CA6">
        <w:trPr>
          <w:tblCellSpacing w:w="0"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C. Total (A+B)</w:t>
            </w:r>
          </w:p>
        </w:tc>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26.657</w:t>
            </w:r>
          </w:p>
        </w:tc>
      </w:tr>
    </w:tbl>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*En la tabla se especifica un ejemplo de empresa con actividad económica de riesgos laborales I</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**En riesgos laborales el valor a pagar será igual al valor mensual.</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2. Valores mínimos a cargo del trabajador para el Sistema de Pensiones: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4437"/>
      </w:tblGrid>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666666"/>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Pago mínimo semanal a cargo del trabajador</w:t>
            </w:r>
          </w:p>
        </w:tc>
        <w:tc>
          <w:tcPr>
            <w:tcW w:w="4485" w:type="dxa"/>
            <w:tcBorders>
              <w:top w:val="outset" w:sz="6" w:space="0" w:color="auto"/>
              <w:left w:val="outset" w:sz="6" w:space="0" w:color="auto"/>
              <w:bottom w:val="outset" w:sz="6" w:space="0" w:color="auto"/>
              <w:right w:val="outset" w:sz="6" w:space="0" w:color="auto"/>
            </w:tcBorders>
            <w:shd w:val="clear" w:color="auto" w:fill="666666"/>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Mínimo semanal ($)</w:t>
            </w:r>
          </w:p>
        </w:tc>
      </w:tr>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 xml:space="preserve">Pensiones (4% del </w:t>
            </w:r>
            <w:proofErr w:type="spellStart"/>
            <w:r w:rsidRPr="00ED4CA6">
              <w:rPr>
                <w:rFonts w:ascii="Arial" w:eastAsia="Times New Roman" w:hAnsi="Arial" w:cs="Arial"/>
                <w:sz w:val="18"/>
                <w:szCs w:val="18"/>
                <w:lang w:eastAsia="es-CO"/>
              </w:rPr>
              <w:t>SMMlV</w:t>
            </w:r>
            <w:proofErr w:type="spellEnd"/>
            <w:r w:rsidRPr="00ED4CA6">
              <w:rPr>
                <w:rFonts w:ascii="Arial" w:eastAsia="Times New Roman" w:hAnsi="Arial" w:cs="Arial"/>
                <w:sz w:val="18"/>
                <w:szCs w:val="18"/>
                <w:lang w:eastAsia="es-CO"/>
              </w:rPr>
              <w:t>/4)</w:t>
            </w:r>
          </w:p>
        </w:tc>
        <w:tc>
          <w:tcPr>
            <w:tcW w:w="4485" w:type="dxa"/>
            <w:tcBorders>
              <w:top w:val="outset" w:sz="6" w:space="0" w:color="auto"/>
              <w:left w:val="outset" w:sz="6" w:space="0" w:color="auto"/>
              <w:bottom w:val="outset" w:sz="6" w:space="0" w:color="auto"/>
              <w:right w:val="outset" w:sz="6" w:space="0" w:color="auto"/>
            </w:tcBorders>
            <w:shd w:val="clear" w:color="auto" w:fill="CCCCFF"/>
            <w:hideMark/>
          </w:tcPr>
          <w:p w:rsidR="00ED4CA6" w:rsidRPr="00ED4CA6" w:rsidRDefault="00ED4CA6" w:rsidP="00ED4CA6">
            <w:pPr>
              <w:spacing w:line="240" w:lineRule="auto"/>
              <w:rPr>
                <w:rFonts w:ascii="Arial" w:eastAsia="Times New Roman" w:hAnsi="Arial" w:cs="Arial"/>
                <w:sz w:val="18"/>
                <w:szCs w:val="18"/>
                <w:lang w:eastAsia="es-CO"/>
              </w:rPr>
            </w:pPr>
            <w:r w:rsidRPr="00ED4CA6">
              <w:rPr>
                <w:rFonts w:ascii="Arial" w:eastAsia="Times New Roman" w:hAnsi="Arial" w:cs="Arial"/>
                <w:sz w:val="18"/>
                <w:szCs w:val="18"/>
                <w:lang w:eastAsia="es-CO"/>
              </w:rPr>
              <w:t>5.895</w:t>
            </w:r>
          </w:p>
        </w:tc>
      </w:tr>
      <w:tr w:rsidR="00ED4CA6" w:rsidRPr="00ED4CA6" w:rsidTr="00ED4CA6">
        <w:trPr>
          <w:tblCellSpacing w:w="7" w:type="dxa"/>
          <w:jc w:val="center"/>
        </w:trPr>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Total</w:t>
            </w:r>
          </w:p>
        </w:tc>
        <w:tc>
          <w:tcPr>
            <w:tcW w:w="4485" w:type="dxa"/>
            <w:tcBorders>
              <w:top w:val="outset" w:sz="6" w:space="0" w:color="auto"/>
              <w:left w:val="outset" w:sz="6" w:space="0" w:color="auto"/>
              <w:bottom w:val="outset" w:sz="6" w:space="0" w:color="auto"/>
              <w:right w:val="outset" w:sz="6" w:space="0" w:color="auto"/>
            </w:tcBorders>
            <w:shd w:val="clear" w:color="auto" w:fill="999999"/>
            <w:hideMark/>
          </w:tcPr>
          <w:p w:rsidR="00ED4CA6" w:rsidRPr="00ED4CA6" w:rsidRDefault="00ED4CA6" w:rsidP="00ED4CA6">
            <w:pPr>
              <w:spacing w:line="240" w:lineRule="auto"/>
              <w:rPr>
                <w:rFonts w:ascii="Arial" w:eastAsia="Times New Roman" w:hAnsi="Arial" w:cs="Arial"/>
                <w:color w:val="000000"/>
                <w:sz w:val="23"/>
                <w:szCs w:val="23"/>
                <w:lang w:eastAsia="es-CO"/>
              </w:rPr>
            </w:pPr>
            <w:r w:rsidRPr="00ED4CA6">
              <w:rPr>
                <w:rFonts w:ascii="Arial" w:eastAsia="Times New Roman" w:hAnsi="Arial" w:cs="Arial"/>
                <w:color w:val="FFFFFF"/>
                <w:sz w:val="23"/>
                <w:szCs w:val="23"/>
                <w:lang w:eastAsia="es-CO"/>
              </w:rPr>
              <w:t>5.895</w:t>
            </w:r>
          </w:p>
        </w:tc>
      </w:tr>
    </w:tbl>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Parágrafo 1.</w:t>
      </w:r>
      <w:r w:rsidRPr="00ED4CA6">
        <w:rPr>
          <w:rFonts w:ascii="Georgia" w:eastAsia="Times New Roman" w:hAnsi="Georgia" w:cs="Arial"/>
          <w:color w:val="000000"/>
          <w:sz w:val="23"/>
          <w:szCs w:val="23"/>
          <w:lang w:eastAsia="es-CO"/>
        </w:rPr>
        <w:t xml:space="preserve"> Los valores señalados en las tablas contenidas en el presente artículo son ilustrativos y calculados sobre el salario mínimo mensual legal vigente ‘SMMLV’ del año 2013, por lo tanto se ajustarán anualmente según el incremento oficial del salario mínimo mensual.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Parágrafo 2.</w:t>
      </w:r>
      <w:r w:rsidRPr="00ED4CA6">
        <w:rPr>
          <w:rFonts w:ascii="Georgia" w:eastAsia="Times New Roman" w:hAnsi="Georgia" w:cs="Arial"/>
          <w:color w:val="000000"/>
          <w:sz w:val="23"/>
          <w:szCs w:val="23"/>
          <w:lang w:eastAsia="es-CO"/>
        </w:rPr>
        <w:t xml:space="preserve"> El porcentaje de cotización al Sistema General de Riesgos Laborales se aplicará de conformidad con la clasificación de actividades económicas establecida en el Decreto 1607 de 2002 o la norma que lo modifique, adicione o sustituya.</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Capítulo IV</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Contabilización de semanas en el Sistema General de Pensiones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8" w:name="9"/>
      <w:bookmarkEnd w:id="8"/>
      <w:r w:rsidRPr="00ED4CA6">
        <w:rPr>
          <w:rFonts w:ascii="Georgia" w:eastAsia="Times New Roman" w:hAnsi="Georgia" w:cs="Arial"/>
          <w:b/>
          <w:bCs/>
          <w:color w:val="000000"/>
          <w:sz w:val="23"/>
          <w:szCs w:val="23"/>
          <w:lang w:eastAsia="es-CO"/>
        </w:rPr>
        <w:t xml:space="preserve">Artículo 9. Contabilización de las semanas en el Sistema General de Pensiones. </w:t>
      </w:r>
      <w:r w:rsidRPr="00ED4CA6">
        <w:rPr>
          <w:rFonts w:ascii="Georgia" w:eastAsia="Times New Roman" w:hAnsi="Georgia" w:cs="Arial"/>
          <w:color w:val="000000"/>
          <w:sz w:val="23"/>
          <w:szCs w:val="23"/>
          <w:lang w:eastAsia="es-CO"/>
        </w:rPr>
        <w:t xml:space="preserve">Para efectos de la contabilización de las semanas en el Sistema General de Pensiones, las administradoras reconocerán como una (1) semana, el rango entre un (1) día y siete (7) días laborados, tomados para el cálculo del monto de la cotización. Si el empleador toma cuatro (4) días laborados para el cálculo, el Sistema reconocerá una (1) semana; si toma ocho (8) días laborados, el sistema reconocerá dos (2) semanas y así sucesivamente. </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Capítulo V</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lastRenderedPageBreak/>
        <w:t>Mecanismos y oportunidad para el recaudo</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9" w:name="10"/>
      <w:bookmarkEnd w:id="9"/>
      <w:r w:rsidRPr="00ED4CA6">
        <w:rPr>
          <w:rFonts w:ascii="Georgia" w:eastAsia="Times New Roman" w:hAnsi="Georgia" w:cs="Arial"/>
          <w:b/>
          <w:bCs/>
          <w:color w:val="000000"/>
          <w:sz w:val="23"/>
          <w:szCs w:val="23"/>
          <w:lang w:eastAsia="es-CO"/>
        </w:rPr>
        <w:t>Artículo 10. Mecanismos de recaudo.</w:t>
      </w:r>
      <w:r w:rsidRPr="00ED4CA6">
        <w:rPr>
          <w:rFonts w:ascii="Georgia" w:eastAsia="Times New Roman" w:hAnsi="Georgia" w:cs="Arial"/>
          <w:color w:val="000000"/>
          <w:sz w:val="23"/>
          <w:szCs w:val="23"/>
          <w:lang w:eastAsia="es-CO"/>
        </w:rPr>
        <w:t xml:space="preserve"> El mecanismo de recaudo en los Sistemas de Pensiones, Riesgos Laborales y Cajas de Compensación Familiar, será el de la Planilla Integrada de Liquidación de Aportes (PILA). El modelo operativo que se adopte para actualizar el sistema PILA a fin de cobijar a los trabajadores a que se refiere el presente decreto, incorporará un esquema de reporte a los operadores de información y bancarios de carácter unificado o por grupos de trabajadores, que permita controlar los costos de operación.</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Si la reglamentación vigente para la Planilla Integrada de Liquidación de Aportes no contiene los elementos que permitan realizar las cotizaciones en los términos que señala el presente decreto, se dispondrá de un plazo de dos (2) meses para que el Ministerio de Salud y Protección Social o quien haga sus veces, realice los ajustes pertinentes.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0" w:name="11"/>
      <w:bookmarkEnd w:id="10"/>
      <w:r w:rsidRPr="00ED4CA6">
        <w:rPr>
          <w:rFonts w:ascii="Georgia" w:eastAsia="Times New Roman" w:hAnsi="Georgia" w:cs="Arial"/>
          <w:b/>
          <w:bCs/>
          <w:color w:val="000000"/>
          <w:sz w:val="23"/>
          <w:szCs w:val="23"/>
          <w:lang w:eastAsia="es-CO"/>
        </w:rPr>
        <w:t>Artículo 11. Oportunidad para el pago de las cotizaciones.</w:t>
      </w:r>
      <w:r w:rsidRPr="00ED4CA6">
        <w:rPr>
          <w:rFonts w:ascii="Georgia" w:eastAsia="Times New Roman" w:hAnsi="Georgia" w:cs="Arial"/>
          <w:color w:val="000000"/>
          <w:sz w:val="23"/>
          <w:szCs w:val="23"/>
          <w:lang w:eastAsia="es-CO"/>
        </w:rPr>
        <w:t xml:space="preserve"> La cotización a los Sistemas de Pensiones, Riesgos Laborales y Subsidio Familiar se realizará en los plazos establecidos en las normas generales que los rigen. El empleador realizará las cotizaciones reportando el número de días que laboró el trabajador durante el mes correspondiente; para el Sistema de Riesgos Laborales la cotización será mensual.</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1" w:name="12"/>
      <w:bookmarkEnd w:id="11"/>
      <w:r w:rsidRPr="00ED4CA6">
        <w:rPr>
          <w:rFonts w:ascii="Georgia" w:eastAsia="Times New Roman" w:hAnsi="Georgia" w:cs="Arial"/>
          <w:b/>
          <w:bCs/>
          <w:color w:val="000000"/>
          <w:sz w:val="23"/>
          <w:szCs w:val="23"/>
          <w:lang w:eastAsia="es-CO"/>
        </w:rPr>
        <w:t>Artículo 12. Multiplicidad de empleadores.</w:t>
      </w:r>
      <w:r w:rsidRPr="00ED4CA6">
        <w:rPr>
          <w:rFonts w:ascii="Georgia" w:eastAsia="Times New Roman" w:hAnsi="Georgia" w:cs="Arial"/>
          <w:color w:val="000000"/>
          <w:sz w:val="23"/>
          <w:szCs w:val="23"/>
          <w:lang w:eastAsia="es-CO"/>
        </w:rPr>
        <w:t xml:space="preserve"> Cuando un trabajador tenga simultáneamente más de un contrato de trabajo, cada empleador deberá efectuar de manera independiente las cotizaciones correspondientes a los diferentes Sistemas señalados en el presente decreto, en los términos del régimen aplicable a cada uno de ellos.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2" w:name="13"/>
      <w:bookmarkEnd w:id="12"/>
      <w:r w:rsidRPr="00ED4CA6">
        <w:rPr>
          <w:rFonts w:ascii="Georgia" w:eastAsia="Times New Roman" w:hAnsi="Georgia" w:cs="Arial"/>
          <w:b/>
          <w:bCs/>
          <w:color w:val="000000"/>
          <w:sz w:val="23"/>
          <w:szCs w:val="23"/>
          <w:lang w:eastAsia="es-CO"/>
        </w:rPr>
        <w:t xml:space="preserve">Artículo 13. Prohibición de </w:t>
      </w:r>
      <w:proofErr w:type="spellStart"/>
      <w:r w:rsidRPr="00ED4CA6">
        <w:rPr>
          <w:rFonts w:ascii="Georgia" w:eastAsia="Times New Roman" w:hAnsi="Georgia" w:cs="Arial"/>
          <w:b/>
          <w:bCs/>
          <w:color w:val="000000"/>
          <w:sz w:val="23"/>
          <w:szCs w:val="23"/>
          <w:lang w:eastAsia="es-CO"/>
        </w:rPr>
        <w:t>multiafiliación</w:t>
      </w:r>
      <w:proofErr w:type="spellEnd"/>
      <w:r w:rsidRPr="00ED4CA6">
        <w:rPr>
          <w:rFonts w:ascii="Georgia" w:eastAsia="Times New Roman" w:hAnsi="Georgia" w:cs="Arial"/>
          <w:b/>
          <w:bCs/>
          <w:color w:val="000000"/>
          <w:sz w:val="23"/>
          <w:szCs w:val="23"/>
          <w:lang w:eastAsia="es-CO"/>
        </w:rPr>
        <w:t>.</w:t>
      </w:r>
      <w:r w:rsidRPr="00ED4CA6">
        <w:rPr>
          <w:rFonts w:ascii="Georgia" w:eastAsia="Times New Roman" w:hAnsi="Georgia" w:cs="Arial"/>
          <w:color w:val="000000"/>
          <w:sz w:val="23"/>
          <w:szCs w:val="23"/>
          <w:lang w:eastAsia="es-CO"/>
        </w:rPr>
        <w:t xml:space="preserve"> En el evento en que el trabajador cuente con más de una relación laboral, deberá informar a sus empleadores la administradora de pensiones seleccionada, con el fin de que estos últimos realicen su afiliación y cumplan sus obligaciones en una única administradora de pensiones.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3" w:name="14"/>
      <w:bookmarkEnd w:id="13"/>
      <w:r w:rsidRPr="00ED4CA6">
        <w:rPr>
          <w:rFonts w:ascii="Georgia" w:eastAsia="Times New Roman" w:hAnsi="Georgia" w:cs="Arial"/>
          <w:b/>
          <w:bCs/>
          <w:color w:val="000000"/>
          <w:sz w:val="23"/>
          <w:szCs w:val="23"/>
          <w:lang w:eastAsia="es-CO"/>
        </w:rPr>
        <w:t xml:space="preserve">Artículo 14. Control a la evasión y la elusión. </w:t>
      </w:r>
      <w:r w:rsidRPr="00ED4CA6">
        <w:rPr>
          <w:rFonts w:ascii="Georgia" w:eastAsia="Times New Roman" w:hAnsi="Georgia" w:cs="Arial"/>
          <w:color w:val="000000"/>
          <w:sz w:val="23"/>
          <w:szCs w:val="23"/>
          <w:lang w:eastAsia="es-CO"/>
        </w:rPr>
        <w:t>El Gobierno Nacional deberá adoptar los controles que permitan detectar cuando un trabajador que tiene varios empleadores, perciba una remuneración superior a un (1) salario mínimo mensual legal vigente, así como cuando los empleadores utilicen este mecanismo para evadir las cotizaciones que les corresponden por sus trabajadores, a partir de sus ingresos reales. Para el efecto, la Unidad de Gestión de Pensiones y Parafiscales ‘UGPP’, deberá ajustar sus procedimientos para realizar una apropiada fiscalización sobre estas cotizaciones.</w:t>
      </w: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Capítulo VI</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Beneficios y servicios</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4" w:name="15"/>
      <w:bookmarkEnd w:id="14"/>
      <w:r w:rsidRPr="00ED4CA6">
        <w:rPr>
          <w:rFonts w:ascii="Georgia" w:eastAsia="Times New Roman" w:hAnsi="Georgia" w:cs="Arial"/>
          <w:b/>
          <w:bCs/>
          <w:color w:val="000000"/>
          <w:sz w:val="23"/>
          <w:szCs w:val="23"/>
          <w:lang w:eastAsia="es-CO"/>
        </w:rPr>
        <w:t>Artículo 15. Beneficios y servicios.</w:t>
      </w:r>
      <w:r w:rsidRPr="00ED4CA6">
        <w:rPr>
          <w:rFonts w:ascii="Georgia" w:eastAsia="Times New Roman" w:hAnsi="Georgia" w:cs="Arial"/>
          <w:color w:val="000000"/>
          <w:sz w:val="23"/>
          <w:szCs w:val="23"/>
          <w:lang w:eastAsia="es-CO"/>
        </w:rPr>
        <w:t xml:space="preserve"> La cotización a los sistemas de qué trata el presente decreto, otorga derecho a los beneficios y servicios en los términos regulados en las respectivas leyes y normas reglamentarias.</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Capítulo VII</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jc w:val="center"/>
        <w:rPr>
          <w:rFonts w:ascii="Georgia" w:eastAsia="Times New Roman" w:hAnsi="Georgia" w:cs="Arial"/>
          <w:b/>
          <w:bCs/>
          <w:color w:val="000000"/>
          <w:sz w:val="23"/>
          <w:szCs w:val="23"/>
          <w:lang w:eastAsia="es-CO"/>
        </w:rPr>
      </w:pPr>
      <w:r w:rsidRPr="00ED4CA6">
        <w:rPr>
          <w:rFonts w:ascii="Georgia" w:eastAsia="Times New Roman" w:hAnsi="Georgia" w:cs="Arial"/>
          <w:b/>
          <w:bCs/>
          <w:color w:val="000000"/>
          <w:sz w:val="23"/>
          <w:szCs w:val="23"/>
          <w:lang w:eastAsia="es-CO"/>
        </w:rPr>
        <w:t>Disposiciones finales</w:t>
      </w:r>
    </w:p>
    <w:p w:rsidR="00ED4CA6" w:rsidRPr="00ED4CA6" w:rsidRDefault="00ED4CA6" w:rsidP="00ED4CA6">
      <w:pPr>
        <w:shd w:val="clear" w:color="auto" w:fill="FFFFFF"/>
        <w:spacing w:line="240" w:lineRule="auto"/>
        <w:jc w:val="center"/>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5" w:name="16"/>
      <w:bookmarkEnd w:id="15"/>
      <w:r w:rsidRPr="00ED4CA6">
        <w:rPr>
          <w:rFonts w:ascii="Georgia" w:eastAsia="Times New Roman" w:hAnsi="Georgia" w:cs="Arial"/>
          <w:b/>
          <w:bCs/>
          <w:color w:val="000000"/>
          <w:sz w:val="23"/>
          <w:szCs w:val="23"/>
          <w:lang w:eastAsia="es-CO"/>
        </w:rPr>
        <w:t>Artículo 16. Mínimo de derechos y garantías de los trabajadores a que hace referencia el presente decreto.</w:t>
      </w:r>
      <w:r w:rsidRPr="00ED4CA6">
        <w:rPr>
          <w:rFonts w:ascii="Georgia" w:eastAsia="Times New Roman" w:hAnsi="Georgia" w:cs="Arial"/>
          <w:color w:val="000000"/>
          <w:sz w:val="23"/>
          <w:szCs w:val="23"/>
          <w:lang w:eastAsia="es-CO"/>
        </w:rPr>
        <w:t xml:space="preserve"> Las normas sobre salarios, jornada de trabajo, prestaciones sociales, vacaciones y demás que les sean aplicables en virtud de lo establecido en el Código Sustantivo del Trabajo, constituyen el mínimo de derechos y garantías consagradas en favor de los trabajadores a tiempo parcial, por lo tanto no produce efecto alguno cualquier estipulación que pretenda afectar o desconocer tales derechos.</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bookmarkStart w:id="16" w:name="17"/>
      <w:bookmarkEnd w:id="16"/>
      <w:r w:rsidRPr="00ED4CA6">
        <w:rPr>
          <w:rFonts w:ascii="Georgia" w:eastAsia="Times New Roman" w:hAnsi="Georgia" w:cs="Arial"/>
          <w:b/>
          <w:bCs/>
          <w:color w:val="000000"/>
          <w:sz w:val="23"/>
          <w:szCs w:val="23"/>
          <w:lang w:eastAsia="es-CO"/>
        </w:rPr>
        <w:lastRenderedPageBreak/>
        <w:t>Artículo 17. Medidas Especiales.</w:t>
      </w:r>
      <w:r w:rsidRPr="00ED4CA6">
        <w:rPr>
          <w:rFonts w:ascii="Georgia" w:eastAsia="Times New Roman" w:hAnsi="Georgia" w:cs="Arial"/>
          <w:color w:val="000000"/>
          <w:sz w:val="23"/>
          <w:szCs w:val="23"/>
          <w:lang w:eastAsia="es-CO"/>
        </w:rPr>
        <w:t xml:space="preserve"> El Ministerio del Trabajo, en coordinación con las correspondientes entidades del Gobierno, adoptará medidas para facilitar el acceso al trabajo a tiempo parcial, productivo y libremente elegido, que responda igualmente a las necesidades de los empleadores y de los trabajadores, siempre que se garantice la protección al mínimo de derechos a que se refiere el presente capítulo.</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Estas medidas deberán comprender:</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1. Revisión de las disposiciones de la legislación que puedan impedir o desalentar el recurso al trabajo a tiempo parcial o la aceptación de este tipo de trabajo;</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2. Utilización del Servicio Público de Empleo en el marco de sus funciones de información o de colocación, para identificar y dar a conocer las oportunidades de trabajo a tiempo parcial;</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3. Atención especial, en el marco de las políticas de empleo, a las necesidades y las preferencias de grupos específicos, tales como los desempleados, los trabajadores con responsabilidades familiares, los trabajadores de avanzada edad, los trabajadores en condiciones de discapacidad y los trabajadores que estén cursando estudios o prosigan</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Se deben incluir además, la realización de investigaciones y la difusión de información sobre el grado en que el trabajo a tiempo parcial, responde a los objetivos económicos y sociales de los empleadores y de los trabajadores.</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bookmarkStart w:id="17" w:name="18"/>
      <w:bookmarkEnd w:id="17"/>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Artículo 18. Traslado voluntario de las sumas cotizadas al Sistema General de Pensiones al mecanismo BEPS.</w:t>
      </w:r>
      <w:r w:rsidRPr="00ED4CA6">
        <w:rPr>
          <w:rFonts w:ascii="Georgia" w:eastAsia="Times New Roman" w:hAnsi="Georgia" w:cs="Arial"/>
          <w:color w:val="000000"/>
          <w:sz w:val="23"/>
          <w:szCs w:val="23"/>
          <w:lang w:eastAsia="es-CO"/>
        </w:rPr>
        <w:t xml:space="preserve"> Si la persona que ha realizado cotizaciones mínimas semanales al Sistema General de Pensiones en los términos del presente decreto, no logra cumplir los requisitos para obtener una pensión, si lo decide voluntariamente, los recursos por concepto de devolución de saldos o indemnización sustitutiva, según aplique, podrán ingresar al mecanismo de r beneficios económicos periódicos BEPS con el fin de obtener la suma periódica, en los términos del Decreto 604 de 2013 o la norma que lo sustituya.</w:t>
      </w:r>
    </w:p>
    <w:p w:rsidR="00ED4CA6" w:rsidRDefault="00ED4CA6" w:rsidP="00ED4CA6">
      <w:pPr>
        <w:shd w:val="clear" w:color="auto" w:fill="FFFFFF"/>
        <w:spacing w:line="240" w:lineRule="auto"/>
        <w:rPr>
          <w:rFonts w:ascii="Georgia" w:eastAsia="Times New Roman" w:hAnsi="Georgia" w:cs="Arial"/>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color w:val="000000"/>
          <w:sz w:val="23"/>
          <w:szCs w:val="23"/>
          <w:lang w:eastAsia="es-CO"/>
        </w:rPr>
        <w:t>Los recursos de la indemnización sustitutiva o la devolución de saldos se tendrán en cuenta para el cálculo del subsidio periódico, siempre que permanezcan por lo menos tres (3) años en el Servicio Social Complementario de los BEPS.</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bookmarkStart w:id="18" w:name="19"/>
      <w:bookmarkEnd w:id="18"/>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 xml:space="preserve">Artículo 19. Verificación de semanas cotizadas por parte del empleado y el empleador. </w:t>
      </w:r>
      <w:r w:rsidRPr="00ED4CA6">
        <w:rPr>
          <w:rFonts w:ascii="Georgia" w:eastAsia="Times New Roman" w:hAnsi="Georgia" w:cs="Arial"/>
          <w:color w:val="000000"/>
          <w:sz w:val="23"/>
          <w:szCs w:val="23"/>
          <w:lang w:eastAsia="es-CO"/>
        </w:rPr>
        <w:t>El sistema de la Planilla Integrada de Liquidación de Aportes (PILA) deberá permitir que el empleado y el empleador puedan verificar y generar un reporte sobre las cotizaciones y semanas imputadas a cada uno de ellas.</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bookmarkStart w:id="19" w:name="20"/>
      <w:bookmarkEnd w:id="19"/>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Artículo 20. Vigencia.</w:t>
      </w:r>
      <w:r w:rsidRPr="00ED4CA6">
        <w:rPr>
          <w:rFonts w:ascii="Georgia" w:eastAsia="Times New Roman" w:hAnsi="Georgia" w:cs="Arial"/>
          <w:color w:val="000000"/>
          <w:sz w:val="23"/>
          <w:szCs w:val="23"/>
          <w:lang w:eastAsia="es-CO"/>
        </w:rPr>
        <w:t xml:space="preserve"> El presente decreto rige a partir de la fecha de su publicación, en relación con las cotizaciones al régimen de prima media del Sistema General de Pensiones, al de Riesgos Laborales y con los aportes a Cajas de Compensación Familiar, observando el término para los ajustes a la Planilla Integrada de Liquidación de Aportes (PILA) que aquí se consagra; para las cotizaciones al régimen de ahorro individual con solidaridad, la entrada en vigencia será a partir del primero (1°) de febrero de 2014, dando un lapso dentro del cual las administradoras de fondos de pensiones deberán ajustar sus respectivos procesos y procedimientos.</w:t>
      </w:r>
    </w:p>
    <w:p w:rsidR="00ED4CA6" w:rsidRDefault="00ED4CA6" w:rsidP="00ED4CA6">
      <w:pPr>
        <w:shd w:val="clear" w:color="auto" w:fill="FFFFFF"/>
        <w:spacing w:line="240" w:lineRule="auto"/>
        <w:rPr>
          <w:rFonts w:ascii="Georgia" w:eastAsia="Times New Roman" w:hAnsi="Georgia" w:cs="Arial"/>
          <w:b/>
          <w:bCs/>
          <w:color w:val="000000"/>
          <w:sz w:val="23"/>
          <w:szCs w:val="23"/>
          <w:lang w:eastAsia="es-CO"/>
        </w:rPr>
      </w:pPr>
    </w:p>
    <w:p w:rsidR="00ED4CA6" w:rsidRPr="00ED4CA6" w:rsidRDefault="00ED4CA6" w:rsidP="00ED4CA6">
      <w:pPr>
        <w:shd w:val="clear" w:color="auto" w:fill="FFFFFF"/>
        <w:spacing w:line="240" w:lineRule="auto"/>
        <w:rPr>
          <w:rFonts w:ascii="Georgia" w:eastAsia="Times New Roman" w:hAnsi="Georgia" w:cs="Arial"/>
          <w:b/>
          <w:bCs/>
          <w:color w:val="000000"/>
          <w:sz w:val="23"/>
          <w:szCs w:val="23"/>
          <w:lang w:eastAsia="es-CO"/>
        </w:rPr>
      </w:pPr>
      <w:bookmarkStart w:id="20" w:name="_GoBack"/>
      <w:bookmarkEnd w:id="20"/>
      <w:r w:rsidRPr="00ED4CA6">
        <w:rPr>
          <w:rFonts w:ascii="Georgia" w:eastAsia="Times New Roman" w:hAnsi="Georgia" w:cs="Arial"/>
          <w:b/>
          <w:bCs/>
          <w:color w:val="000000"/>
          <w:sz w:val="23"/>
          <w:szCs w:val="23"/>
          <w:lang w:eastAsia="es-CO"/>
        </w:rPr>
        <w:t xml:space="preserve">Publíquese y Cúmplase </w:t>
      </w:r>
    </w:p>
    <w:p w:rsidR="00ED4CA6" w:rsidRPr="00ED4CA6" w:rsidRDefault="00ED4CA6" w:rsidP="00ED4CA6">
      <w:pPr>
        <w:shd w:val="clear" w:color="auto" w:fill="FFFFFF"/>
        <w:spacing w:line="240" w:lineRule="auto"/>
        <w:rPr>
          <w:rFonts w:ascii="Georgia" w:eastAsia="Times New Roman" w:hAnsi="Georgia" w:cs="Arial"/>
          <w:color w:val="000000"/>
          <w:sz w:val="23"/>
          <w:szCs w:val="23"/>
          <w:lang w:eastAsia="es-CO"/>
        </w:rPr>
      </w:pPr>
      <w:r w:rsidRPr="00ED4CA6">
        <w:rPr>
          <w:rFonts w:ascii="Georgia" w:eastAsia="Times New Roman" w:hAnsi="Georgia" w:cs="Arial"/>
          <w:b/>
          <w:bCs/>
          <w:color w:val="000000"/>
          <w:sz w:val="23"/>
          <w:szCs w:val="23"/>
          <w:lang w:eastAsia="es-CO"/>
        </w:rPr>
        <w:t>_____________________________________________________</w:t>
      </w:r>
    </w:p>
    <w:sectPr w:rsidR="00ED4CA6" w:rsidRPr="00ED4CA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6"/>
    <w:rsid w:val="00A067C7"/>
    <w:rsid w:val="00B51D80"/>
    <w:rsid w:val="00ED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41349">
      <w:bodyDiv w:val="1"/>
      <w:marLeft w:val="0"/>
      <w:marRight w:val="0"/>
      <w:marTop w:val="0"/>
      <w:marBottom w:val="0"/>
      <w:divBdr>
        <w:top w:val="none" w:sz="0" w:space="0" w:color="auto"/>
        <w:left w:val="none" w:sz="0" w:space="0" w:color="auto"/>
        <w:bottom w:val="none" w:sz="0" w:space="0" w:color="auto"/>
        <w:right w:val="none" w:sz="0" w:space="0" w:color="auto"/>
      </w:divBdr>
      <w:divsChild>
        <w:div w:id="333536944">
          <w:marLeft w:val="0"/>
          <w:marRight w:val="0"/>
          <w:marTop w:val="0"/>
          <w:marBottom w:val="0"/>
          <w:divBdr>
            <w:top w:val="none" w:sz="0" w:space="0" w:color="auto"/>
            <w:left w:val="single" w:sz="6" w:space="0" w:color="999999"/>
            <w:bottom w:val="single" w:sz="6" w:space="0" w:color="999999"/>
            <w:right w:val="none" w:sz="0" w:space="0" w:color="auto"/>
          </w:divBdr>
          <w:divsChild>
            <w:div w:id="1636107805">
              <w:marLeft w:val="0"/>
              <w:marRight w:val="0"/>
              <w:marTop w:val="0"/>
              <w:marBottom w:val="0"/>
              <w:divBdr>
                <w:top w:val="none" w:sz="0" w:space="0" w:color="auto"/>
                <w:left w:val="none" w:sz="0" w:space="0" w:color="auto"/>
                <w:bottom w:val="none" w:sz="0" w:space="0" w:color="auto"/>
                <w:right w:val="single" w:sz="6" w:space="0" w:color="999999"/>
              </w:divBdr>
              <w:divsChild>
                <w:div w:id="1763605265">
                  <w:marLeft w:val="0"/>
                  <w:marRight w:val="0"/>
                  <w:marTop w:val="0"/>
                  <w:marBottom w:val="0"/>
                  <w:divBdr>
                    <w:top w:val="none" w:sz="0" w:space="0" w:color="auto"/>
                    <w:left w:val="none" w:sz="0" w:space="0" w:color="auto"/>
                    <w:bottom w:val="none" w:sz="0" w:space="0" w:color="auto"/>
                    <w:right w:val="none" w:sz="0" w:space="0" w:color="auto"/>
                  </w:divBdr>
                  <w:divsChild>
                    <w:div w:id="96404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73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13/04/01/decreto-604-de-01-04-2013/" TargetMode="External"/><Relationship Id="rId3" Type="http://schemas.openxmlformats.org/officeDocument/2006/relationships/settings" Target="settings.xml"/><Relationship Id="rId7" Type="http://schemas.openxmlformats.org/officeDocument/2006/relationships/hyperlink" Target="http://actualicese.com/normatividad/2009/07/15/ley-1328-de-15-07-2009-ley-de-reforma-financie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12/07/11/ley-1562-de-11-07-2012/" TargetMode="External"/><Relationship Id="rId5" Type="http://schemas.openxmlformats.org/officeDocument/2006/relationships/hyperlink" Target="http://actualicese.com/normatividad/2011/06/16/ley-1450-de-16-06-2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3574</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2013-11-22T20:35:00Z</dcterms:created>
  <dcterms:modified xsi:type="dcterms:W3CDTF">2013-11-22T20:42:00Z</dcterms:modified>
</cp:coreProperties>
</file>